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 xml:space="preserve"> 网络安全优秀教材评选标准</w:t>
      </w:r>
    </w:p>
    <w:p>
      <w:pPr>
        <w:spacing w:line="360" w:lineRule="auto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一、申报条件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参评教材必须在教材质量</w:t>
      </w:r>
      <w:r>
        <w:rPr>
          <w:rFonts w:hint="eastAsia" w:ascii="仿宋" w:hAnsi="仿宋" w:eastAsia="仿宋"/>
          <w:sz w:val="28"/>
          <w:lang w:val="en-US" w:eastAsia="zh-CN"/>
        </w:rPr>
        <w:t>方面</w:t>
      </w:r>
      <w:r>
        <w:rPr>
          <w:rFonts w:hint="eastAsia" w:ascii="仿宋" w:hAnsi="仿宋" w:eastAsia="仿宋"/>
          <w:sz w:val="28"/>
        </w:rPr>
        <w:t>满足以下条件：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说明</w:t>
      </w:r>
      <w:r>
        <w:rPr>
          <w:rFonts w:hint="eastAsia" w:ascii="仿宋" w:hAnsi="仿宋" w:eastAsia="仿宋"/>
          <w:sz w:val="28"/>
        </w:rPr>
        <w:t>：1至</w:t>
      </w:r>
      <w:r>
        <w:rPr>
          <w:rFonts w:ascii="仿宋" w:hAnsi="仿宋" w:eastAsia="仿宋"/>
          <w:sz w:val="28"/>
        </w:rPr>
        <w:t>2项</w:t>
      </w:r>
      <w:r>
        <w:rPr>
          <w:rFonts w:hint="eastAsia" w:ascii="仿宋" w:hAnsi="仿宋" w:eastAsia="仿宋"/>
          <w:sz w:val="28"/>
        </w:rPr>
        <w:t>必须满足，3至</w:t>
      </w:r>
      <w:r>
        <w:rPr>
          <w:rFonts w:ascii="仿宋" w:hAnsi="仿宋" w:eastAsia="仿宋"/>
          <w:sz w:val="28"/>
        </w:rPr>
        <w:t>6项需至少满足1项</w:t>
      </w:r>
      <w:r>
        <w:rPr>
          <w:rFonts w:hint="eastAsia" w:ascii="仿宋" w:hAnsi="仿宋" w:eastAsia="仿宋"/>
          <w:sz w:val="28"/>
        </w:rPr>
        <w:t>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1．</w:t>
      </w:r>
      <w:r>
        <w:rPr>
          <w:rFonts w:hint="eastAsia" w:ascii="仿宋" w:hAnsi="仿宋" w:eastAsia="仿宋"/>
          <w:sz w:val="28"/>
        </w:rPr>
        <w:tab/>
      </w:r>
      <w:r>
        <w:rPr>
          <w:rFonts w:hint="eastAsia" w:ascii="仿宋" w:hAnsi="仿宋" w:eastAsia="仿宋"/>
          <w:sz w:val="28"/>
        </w:rPr>
        <w:t>内容系统深入，与该领域理论研究进展、技术进步同步，教材质量得到同行专家肯定。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2． 应</w:t>
      </w:r>
      <w:r>
        <w:rPr>
          <w:rFonts w:ascii="仿宋" w:hAnsi="仿宋" w:eastAsia="仿宋"/>
          <w:sz w:val="28"/>
        </w:rPr>
        <w:t>属</w:t>
      </w:r>
      <w:r>
        <w:rPr>
          <w:rFonts w:hint="eastAsia" w:ascii="仿宋" w:hAnsi="仿宋" w:eastAsia="仿宋"/>
          <w:sz w:val="28"/>
        </w:rPr>
        <w:t>网络空间安全相关学科、专业教材，自</w:t>
      </w:r>
      <w:r>
        <w:rPr>
          <w:rFonts w:ascii="仿宋" w:hAnsi="仿宋" w:eastAsia="仿宋"/>
          <w:sz w:val="28"/>
        </w:rPr>
        <w:t>首次出版至申报日满</w:t>
      </w:r>
      <w:r>
        <w:rPr>
          <w:rFonts w:hint="eastAsia" w:ascii="仿宋" w:hAnsi="仿宋" w:eastAsia="仿宋"/>
          <w:sz w:val="28"/>
        </w:rPr>
        <w:t>3年以上并有再版（以版权页的出版日期为准）。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3．总印数在10000册（含）以上，并在设有网络空间安全学科专业的高校使用。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4．总印数在10万册以上，并得到使用。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5．国家级规划教材，并在10所以上高校使用。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6．支撑省部级以上精品课、省部级以上精品资源共享课、国家级视频公开课的理论教材和实验实践教材，并在5所以上高校使用。</w:t>
      </w:r>
    </w:p>
    <w:p>
      <w:pPr>
        <w:spacing w:line="360" w:lineRule="auto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二</w:t>
      </w:r>
      <w:r>
        <w:rPr>
          <w:rFonts w:hint="eastAsia" w:ascii="黑体" w:hAnsi="黑体" w:eastAsia="黑体"/>
          <w:sz w:val="30"/>
          <w:szCs w:val="30"/>
        </w:rPr>
        <w:t>、</w:t>
      </w:r>
      <w:r>
        <w:rPr>
          <w:rFonts w:ascii="黑体" w:hAnsi="黑体" w:eastAsia="黑体"/>
          <w:sz w:val="30"/>
          <w:szCs w:val="30"/>
        </w:rPr>
        <w:t>评选细则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（一）</w:t>
      </w:r>
      <w:r>
        <w:rPr>
          <w:rFonts w:ascii="仿宋" w:hAnsi="仿宋" w:eastAsia="仿宋"/>
          <w:b/>
          <w:sz w:val="28"/>
        </w:rPr>
        <w:t>教材内容质量评定标准（80%）</w:t>
      </w:r>
    </w:p>
    <w:p>
      <w:pPr>
        <w:pStyle w:val="26"/>
        <w:tabs>
          <w:tab w:val="left" w:pos="8222"/>
        </w:tabs>
        <w:spacing w:line="360" w:lineRule="auto"/>
        <w:ind w:firstLine="56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eastAsia="仿宋"/>
          <w:sz w:val="28"/>
        </w:rPr>
        <w:t>1．教学水平</w:t>
      </w:r>
      <w:r>
        <w:rPr>
          <w:rFonts w:eastAsia="仿宋"/>
          <w:sz w:val="28"/>
        </w:rPr>
        <w:tab/>
      </w:r>
      <w:r>
        <w:rPr>
          <w:rFonts w:hint="eastAsia" w:asciiTheme="majorEastAsia" w:hAnsiTheme="majorEastAsia" w:eastAsiaTheme="majorEastAsia"/>
          <w:sz w:val="28"/>
          <w:szCs w:val="28"/>
        </w:rPr>
        <w:t>（20%）</w:t>
      </w:r>
    </w:p>
    <w:p>
      <w:pPr>
        <w:pStyle w:val="26"/>
        <w:numPr>
          <w:ilvl w:val="0"/>
          <w:numId w:val="1"/>
        </w:numPr>
        <w:spacing w:line="360" w:lineRule="auto"/>
        <w:ind w:left="1701" w:hanging="567" w:firstLineChars="0"/>
        <w:rPr>
          <w:rFonts w:eastAsia="仿宋"/>
          <w:sz w:val="28"/>
        </w:rPr>
      </w:pPr>
      <w:r>
        <w:rPr>
          <w:rFonts w:hint="eastAsia" w:eastAsia="仿宋"/>
          <w:sz w:val="28"/>
        </w:rPr>
        <w:t>教学适应性：符合人才培养目标及本课程教学的要求，深浅适度，满足灵活的课时设置要求，可与多媒体教学资源有机融合。</w:t>
      </w:r>
    </w:p>
    <w:p>
      <w:pPr>
        <w:pStyle w:val="26"/>
        <w:numPr>
          <w:ilvl w:val="0"/>
          <w:numId w:val="1"/>
        </w:numPr>
        <w:spacing w:line="360" w:lineRule="auto"/>
        <w:ind w:left="1701" w:hanging="567" w:firstLineChars="0"/>
        <w:rPr>
          <w:rFonts w:eastAsia="仿宋"/>
          <w:sz w:val="28"/>
        </w:rPr>
      </w:pPr>
      <w:r>
        <w:rPr>
          <w:rFonts w:hint="eastAsia" w:eastAsia="仿宋"/>
          <w:sz w:val="28"/>
        </w:rPr>
        <w:t>认识规律性：符合认知规律，富有启发性，便于学习，有利于激发学生学习兴趣及各种能力的培养。</w:t>
      </w:r>
    </w:p>
    <w:p>
      <w:pPr>
        <w:pStyle w:val="26"/>
        <w:numPr>
          <w:ilvl w:val="0"/>
          <w:numId w:val="1"/>
        </w:numPr>
        <w:spacing w:line="360" w:lineRule="auto"/>
        <w:ind w:left="1701" w:hanging="567" w:firstLineChars="0"/>
        <w:rPr>
          <w:rFonts w:eastAsia="仿宋"/>
          <w:sz w:val="28"/>
        </w:rPr>
      </w:pPr>
      <w:r>
        <w:rPr>
          <w:rFonts w:hint="eastAsia" w:eastAsia="仿宋"/>
          <w:sz w:val="28"/>
        </w:rPr>
        <w:t>结构完整性：序、正文、习题、思考题、索引、参考文献齐全。</w:t>
      </w:r>
    </w:p>
    <w:p>
      <w:pPr>
        <w:pStyle w:val="26"/>
        <w:tabs>
          <w:tab w:val="left" w:pos="8222"/>
        </w:tabs>
        <w:spacing w:line="360" w:lineRule="auto"/>
        <w:ind w:firstLine="560"/>
        <w:rPr>
          <w:rFonts w:eastAsia="仿宋"/>
          <w:sz w:val="28"/>
        </w:rPr>
      </w:pPr>
      <w:r>
        <w:rPr>
          <w:rFonts w:hint="eastAsia" w:eastAsia="仿宋"/>
          <w:sz w:val="28"/>
        </w:rPr>
        <w:t>2．科学水平</w:t>
      </w:r>
      <w:r>
        <w:rPr>
          <w:rFonts w:eastAsia="仿宋"/>
          <w:sz w:val="28"/>
        </w:rPr>
        <w:tab/>
      </w:r>
      <w:r>
        <w:rPr>
          <w:rFonts w:hint="eastAsia" w:asciiTheme="majorEastAsia" w:hAnsiTheme="majorEastAsia" w:eastAsiaTheme="majorEastAsia"/>
          <w:sz w:val="28"/>
          <w:szCs w:val="28"/>
        </w:rPr>
        <w:t>（20%）</w:t>
      </w:r>
    </w:p>
    <w:p>
      <w:pPr>
        <w:pStyle w:val="26"/>
        <w:numPr>
          <w:ilvl w:val="0"/>
          <w:numId w:val="2"/>
        </w:numPr>
        <w:spacing w:line="360" w:lineRule="auto"/>
        <w:ind w:left="1701" w:hanging="567" w:firstLineChars="0"/>
        <w:rPr>
          <w:rFonts w:eastAsia="仿宋"/>
          <w:sz w:val="28"/>
        </w:rPr>
      </w:pPr>
      <w:r>
        <w:rPr>
          <w:rFonts w:hint="eastAsia" w:eastAsia="仿宋"/>
          <w:sz w:val="28"/>
        </w:rPr>
        <w:t>先进性：能反映本学科国内外科学研究、产业技术发展、教学研究的先进成果。</w:t>
      </w:r>
    </w:p>
    <w:p>
      <w:pPr>
        <w:pStyle w:val="26"/>
        <w:numPr>
          <w:ilvl w:val="0"/>
          <w:numId w:val="2"/>
        </w:numPr>
        <w:spacing w:line="360" w:lineRule="auto"/>
        <w:ind w:left="1701" w:hanging="567" w:firstLineChars="0"/>
        <w:rPr>
          <w:rFonts w:eastAsia="仿宋"/>
          <w:sz w:val="28"/>
        </w:rPr>
      </w:pPr>
      <w:r>
        <w:rPr>
          <w:rFonts w:hint="eastAsia" w:eastAsia="仿宋"/>
          <w:sz w:val="28"/>
        </w:rPr>
        <w:t>系统性：能完整地表达本课程应包含的知识，反映其相互联系及发展规律，结构严谨。</w:t>
      </w:r>
    </w:p>
    <w:p>
      <w:pPr>
        <w:pStyle w:val="26"/>
        <w:numPr>
          <w:ilvl w:val="0"/>
          <w:numId w:val="2"/>
        </w:numPr>
        <w:spacing w:line="360" w:lineRule="auto"/>
        <w:ind w:left="1701" w:hanging="567" w:firstLineChars="0"/>
        <w:rPr>
          <w:rFonts w:eastAsia="仿宋"/>
          <w:sz w:val="28"/>
        </w:rPr>
      </w:pPr>
      <w:r>
        <w:rPr>
          <w:rFonts w:hint="eastAsia" w:eastAsia="仿宋"/>
          <w:sz w:val="28"/>
        </w:rPr>
        <w:t>理论</w:t>
      </w:r>
      <w:r>
        <w:rPr>
          <w:rFonts w:eastAsia="仿宋"/>
          <w:sz w:val="28"/>
        </w:rPr>
        <w:t>联系实际</w:t>
      </w:r>
      <w:r>
        <w:rPr>
          <w:rFonts w:hint="eastAsia" w:eastAsia="仿宋"/>
          <w:sz w:val="28"/>
        </w:rPr>
        <w:t>：</w:t>
      </w:r>
      <w:r>
        <w:rPr>
          <w:rFonts w:eastAsia="仿宋"/>
          <w:sz w:val="28"/>
          <w:szCs w:val="22"/>
        </w:rPr>
        <w:t>能正确阐述科学理论和概念，注意理论联系实际，以</w:t>
      </w:r>
      <w:r>
        <w:rPr>
          <w:rFonts w:hint="eastAsia" w:eastAsia="仿宋"/>
          <w:sz w:val="28"/>
          <w:szCs w:val="22"/>
        </w:rPr>
        <w:t>实例和</w:t>
      </w:r>
      <w:r>
        <w:rPr>
          <w:rFonts w:eastAsia="仿宋"/>
          <w:sz w:val="28"/>
          <w:szCs w:val="22"/>
        </w:rPr>
        <w:t>案例阐述理论</w:t>
      </w:r>
      <w:r>
        <w:rPr>
          <w:rFonts w:hint="eastAsia" w:eastAsia="仿宋"/>
          <w:sz w:val="28"/>
          <w:szCs w:val="22"/>
        </w:rPr>
        <w:t>和技术</w:t>
      </w:r>
      <w:r>
        <w:rPr>
          <w:rFonts w:eastAsia="仿宋"/>
          <w:sz w:val="28"/>
          <w:szCs w:val="22"/>
        </w:rPr>
        <w:t>，对实践具</w:t>
      </w:r>
      <w:r>
        <w:rPr>
          <w:rFonts w:hint="eastAsia" w:eastAsia="仿宋"/>
          <w:sz w:val="28"/>
          <w:szCs w:val="22"/>
        </w:rPr>
        <w:t>有</w:t>
      </w:r>
      <w:r>
        <w:rPr>
          <w:rFonts w:eastAsia="仿宋"/>
          <w:sz w:val="28"/>
          <w:szCs w:val="22"/>
        </w:rPr>
        <w:t>指导作用</w:t>
      </w:r>
      <w:r>
        <w:rPr>
          <w:rFonts w:hint="eastAsia" w:eastAsia="仿宋"/>
          <w:sz w:val="28"/>
          <w:szCs w:val="22"/>
        </w:rPr>
        <w:t>。</w:t>
      </w:r>
    </w:p>
    <w:p>
      <w:pPr>
        <w:pStyle w:val="26"/>
        <w:tabs>
          <w:tab w:val="left" w:pos="8222"/>
        </w:tabs>
        <w:spacing w:line="360" w:lineRule="auto"/>
        <w:ind w:firstLine="56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eastAsia="仿宋"/>
          <w:sz w:val="28"/>
        </w:rPr>
        <w:t>3．思想水平</w:t>
      </w:r>
      <w:r>
        <w:rPr>
          <w:rFonts w:eastAsia="仿宋"/>
          <w:sz w:val="28"/>
        </w:rPr>
        <w:tab/>
      </w:r>
      <w:r>
        <w:rPr>
          <w:rFonts w:hint="eastAsia" w:asciiTheme="majorEastAsia" w:hAnsiTheme="majorEastAsia" w:eastAsiaTheme="majorEastAsia"/>
          <w:sz w:val="28"/>
          <w:szCs w:val="28"/>
        </w:rPr>
        <w:t>（20%）</w:t>
      </w:r>
    </w:p>
    <w:p>
      <w:pPr>
        <w:pStyle w:val="26"/>
        <w:numPr>
          <w:ilvl w:val="0"/>
          <w:numId w:val="3"/>
        </w:numPr>
        <w:spacing w:line="360" w:lineRule="auto"/>
        <w:ind w:left="1701" w:hanging="567" w:firstLineChars="0"/>
        <w:rPr>
          <w:rFonts w:eastAsia="仿宋"/>
          <w:sz w:val="28"/>
        </w:rPr>
      </w:pPr>
      <w:r>
        <w:rPr>
          <w:rFonts w:hint="eastAsia" w:eastAsia="仿宋"/>
          <w:sz w:val="28"/>
        </w:rPr>
        <w:t>思想性：体现习近平主席的治网理念，思想观点正确。</w:t>
      </w:r>
    </w:p>
    <w:p>
      <w:pPr>
        <w:pStyle w:val="26"/>
        <w:numPr>
          <w:ilvl w:val="0"/>
          <w:numId w:val="3"/>
        </w:numPr>
        <w:spacing w:line="360" w:lineRule="auto"/>
        <w:ind w:left="1701" w:hanging="567" w:firstLineChars="0"/>
        <w:rPr>
          <w:rFonts w:eastAsia="仿宋"/>
          <w:sz w:val="28"/>
        </w:rPr>
      </w:pPr>
      <w:r>
        <w:rPr>
          <w:rFonts w:hint="eastAsia" w:eastAsia="仿宋"/>
          <w:sz w:val="28"/>
        </w:rPr>
        <w:t>逻辑性：层次分明、条理清楚，教材体系能反映内容的内在联系及本学科专业特有的思维方法。</w:t>
      </w:r>
    </w:p>
    <w:p>
      <w:pPr>
        <w:pStyle w:val="26"/>
        <w:tabs>
          <w:tab w:val="left" w:pos="8222"/>
        </w:tabs>
        <w:spacing w:line="360" w:lineRule="auto"/>
        <w:ind w:firstLine="560"/>
        <w:rPr>
          <w:rFonts w:eastAsia="仿宋"/>
          <w:sz w:val="28"/>
        </w:rPr>
      </w:pPr>
      <w:r>
        <w:rPr>
          <w:rFonts w:hint="eastAsia" w:eastAsia="仿宋"/>
          <w:sz w:val="28"/>
        </w:rPr>
        <w:t>4．自主水平</w:t>
      </w:r>
      <w:r>
        <w:rPr>
          <w:rFonts w:eastAsia="仿宋"/>
          <w:sz w:val="28"/>
        </w:rPr>
        <w:tab/>
      </w:r>
      <w:r>
        <w:rPr>
          <w:rFonts w:hint="eastAsia" w:asciiTheme="majorEastAsia" w:hAnsiTheme="majorEastAsia" w:eastAsiaTheme="majorEastAsia"/>
          <w:sz w:val="28"/>
          <w:szCs w:val="28"/>
        </w:rPr>
        <w:t>（15%）</w:t>
      </w:r>
    </w:p>
    <w:p>
      <w:pPr>
        <w:pStyle w:val="26"/>
        <w:numPr>
          <w:ilvl w:val="0"/>
          <w:numId w:val="4"/>
        </w:numPr>
        <w:spacing w:line="360" w:lineRule="auto"/>
        <w:ind w:left="1701" w:hanging="567" w:firstLineChars="0"/>
        <w:rPr>
          <w:rFonts w:eastAsia="仿宋"/>
          <w:sz w:val="28"/>
        </w:rPr>
      </w:pPr>
      <w:r>
        <w:rPr>
          <w:rFonts w:hint="eastAsia" w:eastAsia="仿宋"/>
          <w:sz w:val="28"/>
        </w:rPr>
        <w:t>自主技术：</w:t>
      </w:r>
      <w:r>
        <w:rPr>
          <w:rFonts w:eastAsia="仿宋"/>
          <w:sz w:val="28"/>
        </w:rPr>
        <w:t>重视</w:t>
      </w:r>
      <w:r>
        <w:rPr>
          <w:rFonts w:hint="eastAsia" w:eastAsia="仿宋"/>
          <w:sz w:val="28"/>
        </w:rPr>
        <w:t>介绍国内具有自主知识产权的安全算法、安全协议、安全标准等。</w:t>
      </w:r>
    </w:p>
    <w:p>
      <w:pPr>
        <w:pStyle w:val="26"/>
        <w:numPr>
          <w:ilvl w:val="0"/>
          <w:numId w:val="4"/>
        </w:numPr>
        <w:spacing w:line="360" w:lineRule="auto"/>
        <w:ind w:left="1701" w:hanging="567" w:firstLineChars="0"/>
        <w:rPr>
          <w:rFonts w:eastAsia="仿宋"/>
          <w:sz w:val="28"/>
        </w:rPr>
      </w:pPr>
      <w:r>
        <w:rPr>
          <w:rFonts w:hint="eastAsia" w:eastAsia="仿宋"/>
          <w:sz w:val="28"/>
        </w:rPr>
        <w:t>自主产品：</w:t>
      </w:r>
      <w:r>
        <w:rPr>
          <w:rFonts w:eastAsia="仿宋"/>
          <w:sz w:val="28"/>
        </w:rPr>
        <w:t>重视</w:t>
      </w:r>
      <w:r>
        <w:rPr>
          <w:rFonts w:hint="eastAsia" w:eastAsia="仿宋"/>
          <w:sz w:val="28"/>
        </w:rPr>
        <w:t>介绍国内具有自主知识产权的安全硬件、安全软件、安全芯片等。</w:t>
      </w:r>
    </w:p>
    <w:p>
      <w:pPr>
        <w:pStyle w:val="26"/>
        <w:tabs>
          <w:tab w:val="left" w:pos="8222"/>
        </w:tabs>
        <w:spacing w:line="360" w:lineRule="auto"/>
        <w:ind w:firstLine="56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eastAsia="仿宋"/>
          <w:sz w:val="28"/>
        </w:rPr>
        <w:t>5．文图水平</w:t>
      </w:r>
      <w:r>
        <w:rPr>
          <w:rFonts w:eastAsia="仿宋"/>
          <w:sz w:val="28"/>
        </w:rPr>
        <w:tab/>
      </w:r>
      <w:r>
        <w:rPr>
          <w:rFonts w:hint="eastAsia" w:asciiTheme="majorEastAsia" w:hAnsiTheme="majorEastAsia" w:eastAsiaTheme="majorEastAsia"/>
          <w:sz w:val="28"/>
          <w:szCs w:val="28"/>
        </w:rPr>
        <w:t>（5%）</w:t>
      </w:r>
    </w:p>
    <w:p>
      <w:pPr>
        <w:pStyle w:val="26"/>
        <w:numPr>
          <w:ilvl w:val="0"/>
          <w:numId w:val="5"/>
        </w:numPr>
        <w:spacing w:line="360" w:lineRule="auto"/>
        <w:ind w:left="1701" w:hanging="567" w:firstLineChars="0"/>
        <w:rPr>
          <w:rFonts w:eastAsia="仿宋"/>
          <w:sz w:val="28"/>
        </w:rPr>
      </w:pPr>
      <w:r>
        <w:rPr>
          <w:rFonts w:hint="eastAsia" w:eastAsia="仿宋"/>
          <w:sz w:val="28"/>
        </w:rPr>
        <w:t>语言文字：文字规范、简练，符合语法规则，语言流畅，通俗易懂，叙述生动。</w:t>
      </w:r>
    </w:p>
    <w:p>
      <w:pPr>
        <w:pStyle w:val="26"/>
        <w:numPr>
          <w:ilvl w:val="0"/>
          <w:numId w:val="5"/>
        </w:numPr>
        <w:spacing w:line="360" w:lineRule="auto"/>
        <w:ind w:left="1701" w:hanging="567" w:firstLineChars="0"/>
        <w:rPr>
          <w:rFonts w:eastAsia="仿宋"/>
          <w:sz w:val="28"/>
        </w:rPr>
      </w:pPr>
      <w:r>
        <w:rPr>
          <w:rFonts w:hint="eastAsia" w:eastAsia="仿宋"/>
          <w:sz w:val="28"/>
        </w:rPr>
        <w:t>图表：图文配合恰当，图表清晰、准确，符号、计量单位符号符合国家标准。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（二）</w:t>
      </w:r>
      <w:r>
        <w:rPr>
          <w:rFonts w:ascii="仿宋" w:hAnsi="仿宋" w:eastAsia="仿宋"/>
          <w:b/>
          <w:sz w:val="28"/>
        </w:rPr>
        <w:t>教材编校质量评定标准（15%）</w:t>
      </w:r>
    </w:p>
    <w:p>
      <w:pPr>
        <w:pStyle w:val="26"/>
        <w:tabs>
          <w:tab w:val="left" w:pos="8222"/>
        </w:tabs>
        <w:spacing w:line="360" w:lineRule="auto"/>
        <w:ind w:firstLine="56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eastAsia="仿宋"/>
          <w:sz w:val="28"/>
        </w:rPr>
        <w:t>1．加工水平</w:t>
      </w:r>
      <w:r>
        <w:rPr>
          <w:rFonts w:hint="eastAsia" w:eastAsia="仿宋"/>
          <w:sz w:val="28"/>
        </w:rPr>
        <w:tab/>
      </w:r>
      <w:r>
        <w:rPr>
          <w:rFonts w:hint="eastAsia" w:asciiTheme="majorEastAsia" w:hAnsiTheme="majorEastAsia" w:eastAsiaTheme="majorEastAsia"/>
          <w:sz w:val="28"/>
          <w:szCs w:val="28"/>
        </w:rPr>
        <w:t>（7%）</w:t>
      </w:r>
    </w:p>
    <w:p>
      <w:pPr>
        <w:pStyle w:val="26"/>
        <w:numPr>
          <w:ilvl w:val="0"/>
          <w:numId w:val="6"/>
        </w:numPr>
        <w:tabs>
          <w:tab w:val="left" w:pos="1276"/>
        </w:tabs>
        <w:spacing w:line="360" w:lineRule="auto"/>
        <w:ind w:left="1701" w:hanging="567" w:firstLineChars="0"/>
        <w:rPr>
          <w:rFonts w:eastAsia="仿宋"/>
          <w:sz w:val="28"/>
        </w:rPr>
      </w:pPr>
      <w:r>
        <w:rPr>
          <w:rFonts w:hint="eastAsia" w:eastAsia="仿宋"/>
          <w:sz w:val="28"/>
        </w:rPr>
        <w:t>具体内容：无科学性、知识性错误，正确反映内容，目录正文一致，参考文献著录准确。</w:t>
      </w:r>
    </w:p>
    <w:p>
      <w:pPr>
        <w:pStyle w:val="26"/>
        <w:numPr>
          <w:ilvl w:val="0"/>
          <w:numId w:val="6"/>
        </w:numPr>
        <w:spacing w:line="360" w:lineRule="auto"/>
        <w:ind w:left="1701" w:hanging="567" w:firstLineChars="0"/>
        <w:rPr>
          <w:rFonts w:eastAsia="仿宋"/>
          <w:sz w:val="28"/>
        </w:rPr>
      </w:pPr>
      <w:r>
        <w:rPr>
          <w:rFonts w:hint="eastAsia" w:eastAsia="仿宋"/>
          <w:sz w:val="28"/>
        </w:rPr>
        <w:t>各类符号：标点、符号、公式、数据、计量单位标准规范。</w:t>
      </w:r>
    </w:p>
    <w:p>
      <w:pPr>
        <w:pStyle w:val="26"/>
        <w:tabs>
          <w:tab w:val="left" w:pos="8222"/>
        </w:tabs>
        <w:spacing w:line="360" w:lineRule="auto"/>
        <w:ind w:firstLine="56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eastAsia="仿宋"/>
          <w:sz w:val="28"/>
        </w:rPr>
        <w:t>2．设计水平</w:t>
      </w:r>
      <w:r>
        <w:rPr>
          <w:rFonts w:eastAsia="仿宋"/>
          <w:sz w:val="28"/>
        </w:rPr>
        <w:tab/>
      </w:r>
      <w:r>
        <w:rPr>
          <w:rFonts w:hint="eastAsia" w:asciiTheme="majorEastAsia" w:hAnsiTheme="majorEastAsia" w:eastAsiaTheme="majorEastAsia"/>
          <w:sz w:val="28"/>
          <w:szCs w:val="28"/>
        </w:rPr>
        <w:t>（3%）</w:t>
      </w:r>
    </w:p>
    <w:p>
      <w:pPr>
        <w:pStyle w:val="26"/>
        <w:numPr>
          <w:ilvl w:val="0"/>
          <w:numId w:val="7"/>
        </w:numPr>
        <w:spacing w:line="360" w:lineRule="auto"/>
        <w:ind w:left="1701" w:hanging="567" w:firstLineChars="0"/>
        <w:rPr>
          <w:rFonts w:eastAsia="仿宋"/>
          <w:sz w:val="28"/>
        </w:rPr>
      </w:pPr>
      <w:r>
        <w:rPr>
          <w:rFonts w:hint="eastAsia" w:eastAsia="仿宋"/>
          <w:sz w:val="28"/>
        </w:rPr>
        <w:t>封面设计：封面、扉页、封底能恰当反映本书内容，构思合理，格调健康，风格鲜明，文字准确，色彩和谐。</w:t>
      </w:r>
    </w:p>
    <w:p>
      <w:pPr>
        <w:pStyle w:val="26"/>
        <w:numPr>
          <w:ilvl w:val="0"/>
          <w:numId w:val="7"/>
        </w:numPr>
        <w:spacing w:line="360" w:lineRule="auto"/>
        <w:ind w:left="1701" w:hanging="567" w:firstLineChars="0"/>
        <w:rPr>
          <w:rFonts w:eastAsia="仿宋"/>
          <w:sz w:val="28"/>
        </w:rPr>
      </w:pPr>
      <w:r>
        <w:rPr>
          <w:rFonts w:hint="eastAsia" w:eastAsia="仿宋"/>
          <w:sz w:val="28"/>
        </w:rPr>
        <w:t>版式设计：规范、统一，字号字型、序号的使用合理。</w:t>
      </w:r>
    </w:p>
    <w:p>
      <w:pPr>
        <w:pStyle w:val="26"/>
        <w:tabs>
          <w:tab w:val="left" w:pos="8222"/>
        </w:tabs>
        <w:spacing w:line="360" w:lineRule="auto"/>
        <w:ind w:firstLine="560"/>
        <w:rPr>
          <w:rFonts w:eastAsia="仿宋"/>
          <w:sz w:val="28"/>
        </w:rPr>
      </w:pPr>
      <w:r>
        <w:rPr>
          <w:rFonts w:hint="eastAsia" w:eastAsia="仿宋"/>
          <w:sz w:val="28"/>
        </w:rPr>
        <w:t>3．绘图水平</w:t>
      </w:r>
      <w:r>
        <w:rPr>
          <w:rFonts w:eastAsia="仿宋"/>
          <w:sz w:val="28"/>
        </w:rPr>
        <w:tab/>
      </w:r>
      <w:r>
        <w:rPr>
          <w:rFonts w:hint="eastAsia" w:asciiTheme="majorEastAsia" w:hAnsiTheme="majorEastAsia" w:eastAsiaTheme="majorEastAsia"/>
          <w:sz w:val="28"/>
          <w:szCs w:val="28"/>
        </w:rPr>
        <w:t>（3%）</w:t>
      </w:r>
    </w:p>
    <w:p>
      <w:pPr>
        <w:pStyle w:val="26"/>
        <w:tabs>
          <w:tab w:val="left" w:pos="8647"/>
        </w:tabs>
        <w:spacing w:line="360" w:lineRule="auto"/>
        <w:ind w:firstLine="1134" w:firstLineChars="405"/>
        <w:rPr>
          <w:rFonts w:eastAsia="仿宋"/>
          <w:sz w:val="28"/>
        </w:rPr>
      </w:pPr>
      <w:r>
        <w:rPr>
          <w:rFonts w:hint="eastAsia" w:eastAsia="仿宋"/>
          <w:sz w:val="28"/>
        </w:rPr>
        <w:t>线画清晰、准确、美观，图文合理，缩尺恰当。</w:t>
      </w:r>
    </w:p>
    <w:p>
      <w:pPr>
        <w:pStyle w:val="26"/>
        <w:tabs>
          <w:tab w:val="left" w:pos="8222"/>
        </w:tabs>
        <w:spacing w:line="360" w:lineRule="auto"/>
        <w:ind w:firstLine="560"/>
        <w:rPr>
          <w:rFonts w:eastAsia="仿宋"/>
          <w:sz w:val="28"/>
        </w:rPr>
      </w:pPr>
      <w:r>
        <w:rPr>
          <w:rFonts w:hint="eastAsia" w:eastAsia="仿宋"/>
          <w:sz w:val="28"/>
        </w:rPr>
        <w:t>4．校对水平</w:t>
      </w:r>
      <w:r>
        <w:rPr>
          <w:rFonts w:eastAsia="仿宋"/>
          <w:sz w:val="28"/>
        </w:rPr>
        <w:tab/>
      </w:r>
      <w:r>
        <w:rPr>
          <w:rFonts w:hint="eastAsia" w:asciiTheme="majorEastAsia" w:hAnsiTheme="majorEastAsia" w:eastAsiaTheme="majorEastAsia"/>
          <w:sz w:val="28"/>
          <w:szCs w:val="28"/>
        </w:rPr>
        <w:t>（2%）</w:t>
      </w:r>
    </w:p>
    <w:p>
      <w:pPr>
        <w:pStyle w:val="26"/>
        <w:tabs>
          <w:tab w:val="left" w:pos="8647"/>
        </w:tabs>
        <w:spacing w:line="360" w:lineRule="auto"/>
        <w:ind w:firstLine="1134" w:firstLineChars="405"/>
        <w:rPr>
          <w:rFonts w:eastAsia="仿宋"/>
          <w:sz w:val="28"/>
        </w:rPr>
      </w:pPr>
      <w:r>
        <w:rPr>
          <w:rFonts w:hint="eastAsia" w:eastAsia="仿宋"/>
          <w:sz w:val="28"/>
        </w:rPr>
        <w:t>差错率低于万分之零点五。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（三）</w:t>
      </w:r>
      <w:r>
        <w:rPr>
          <w:rFonts w:ascii="仿宋" w:hAnsi="仿宋" w:eastAsia="仿宋"/>
          <w:b/>
          <w:sz w:val="28"/>
        </w:rPr>
        <w:t>教材印刷质量评定标准（5%）</w:t>
      </w:r>
    </w:p>
    <w:p>
      <w:pPr>
        <w:pStyle w:val="26"/>
        <w:tabs>
          <w:tab w:val="left" w:pos="8222"/>
        </w:tabs>
        <w:spacing w:line="360" w:lineRule="auto"/>
        <w:ind w:firstLine="560"/>
        <w:jc w:val="left"/>
        <w:rPr>
          <w:rFonts w:eastAsia="仿宋"/>
          <w:sz w:val="28"/>
        </w:rPr>
      </w:pPr>
      <w:r>
        <w:rPr>
          <w:rFonts w:hint="eastAsia" w:eastAsia="仿宋"/>
          <w:sz w:val="28"/>
        </w:rPr>
        <w:t>1．印刷水平</w:t>
      </w:r>
      <w:r>
        <w:rPr>
          <w:rFonts w:eastAsia="仿宋"/>
          <w:sz w:val="28"/>
        </w:rPr>
        <w:tab/>
      </w:r>
      <w:r>
        <w:rPr>
          <w:rFonts w:hint="eastAsia" w:asciiTheme="majorEastAsia" w:hAnsiTheme="majorEastAsia" w:eastAsiaTheme="majorEastAsia"/>
          <w:sz w:val="28"/>
          <w:szCs w:val="28"/>
        </w:rPr>
        <w:t>（2.5%）</w:t>
      </w:r>
    </w:p>
    <w:p>
      <w:pPr>
        <w:pStyle w:val="26"/>
        <w:numPr>
          <w:ilvl w:val="0"/>
          <w:numId w:val="8"/>
        </w:numPr>
        <w:spacing w:line="360" w:lineRule="auto"/>
        <w:ind w:left="1701" w:hanging="567" w:firstLineChars="0"/>
        <w:rPr>
          <w:rFonts w:eastAsia="仿宋"/>
          <w:sz w:val="28"/>
        </w:rPr>
      </w:pPr>
      <w:r>
        <w:rPr>
          <w:rFonts w:hint="eastAsia" w:eastAsia="仿宋"/>
          <w:sz w:val="28"/>
        </w:rPr>
        <w:t>开本尺寸：版芯正直，订口、切口、天头、地脚等规格符合要求，翻套正确，纸质厚薄适中，价格合理。</w:t>
      </w:r>
    </w:p>
    <w:p>
      <w:pPr>
        <w:pStyle w:val="26"/>
        <w:numPr>
          <w:ilvl w:val="0"/>
          <w:numId w:val="8"/>
        </w:numPr>
        <w:spacing w:line="360" w:lineRule="auto"/>
        <w:ind w:left="1701" w:hanging="567" w:firstLineChars="0"/>
        <w:rPr>
          <w:rFonts w:eastAsia="仿宋"/>
          <w:sz w:val="28"/>
        </w:rPr>
      </w:pPr>
      <w:r>
        <w:rPr>
          <w:rFonts w:hint="eastAsia" w:eastAsia="仿宋"/>
          <w:sz w:val="28"/>
        </w:rPr>
        <w:t>大压墨色：墨色符合印样，全书均匀一致，压力一致，图版网点清楚，层次分明。</w:t>
      </w:r>
    </w:p>
    <w:p>
      <w:pPr>
        <w:pStyle w:val="26"/>
        <w:numPr>
          <w:ilvl w:val="0"/>
          <w:numId w:val="8"/>
        </w:numPr>
        <w:spacing w:line="360" w:lineRule="auto"/>
        <w:ind w:left="1701" w:hanging="567" w:firstLineChars="0"/>
        <w:rPr>
          <w:rFonts w:eastAsia="仿宋"/>
          <w:sz w:val="28"/>
        </w:rPr>
      </w:pPr>
      <w:r>
        <w:rPr>
          <w:rFonts w:hint="eastAsia" w:eastAsia="仿宋"/>
          <w:sz w:val="28"/>
        </w:rPr>
        <w:t>彩色套印：翻套准确，色版墨色均匀，图版网点清晰光洁，层次丰富。</w:t>
      </w:r>
    </w:p>
    <w:p>
      <w:pPr>
        <w:pStyle w:val="26"/>
        <w:numPr>
          <w:ilvl w:val="0"/>
          <w:numId w:val="8"/>
        </w:numPr>
        <w:spacing w:line="360" w:lineRule="auto"/>
        <w:ind w:left="1701" w:hanging="567" w:firstLineChars="0"/>
        <w:rPr>
          <w:rFonts w:eastAsia="仿宋"/>
          <w:sz w:val="28"/>
        </w:rPr>
      </w:pPr>
      <w:r>
        <w:rPr>
          <w:rFonts w:hint="eastAsia" w:eastAsia="仿宋"/>
          <w:sz w:val="28"/>
        </w:rPr>
        <w:t>照片插图：印品压力均匀，墨色均匀，图版网点清晰光洁，层次丰富。</w:t>
      </w:r>
    </w:p>
    <w:p>
      <w:pPr>
        <w:pStyle w:val="26"/>
        <w:tabs>
          <w:tab w:val="left" w:pos="8222"/>
        </w:tabs>
        <w:spacing w:line="360" w:lineRule="auto"/>
        <w:ind w:firstLine="560"/>
        <w:jc w:val="left"/>
        <w:rPr>
          <w:rFonts w:eastAsia="仿宋"/>
          <w:sz w:val="28"/>
        </w:rPr>
      </w:pPr>
      <w:r>
        <w:rPr>
          <w:rFonts w:hint="eastAsia" w:eastAsia="仿宋"/>
          <w:sz w:val="28"/>
        </w:rPr>
        <w:t>2．装订水平</w:t>
      </w:r>
      <w:r>
        <w:rPr>
          <w:rFonts w:eastAsia="仿宋"/>
          <w:sz w:val="28"/>
        </w:rPr>
        <w:tab/>
      </w:r>
      <w:r>
        <w:rPr>
          <w:rFonts w:hint="eastAsia" w:asciiTheme="majorEastAsia" w:hAnsiTheme="majorEastAsia" w:eastAsiaTheme="majorEastAsia"/>
          <w:sz w:val="28"/>
          <w:szCs w:val="28"/>
        </w:rPr>
        <w:t>（2.5%）</w:t>
      </w:r>
    </w:p>
    <w:p>
      <w:pPr>
        <w:pStyle w:val="26"/>
        <w:numPr>
          <w:ilvl w:val="0"/>
          <w:numId w:val="9"/>
        </w:numPr>
        <w:spacing w:line="360" w:lineRule="auto"/>
        <w:ind w:left="1701" w:hanging="567" w:firstLineChars="0"/>
        <w:rPr>
          <w:rFonts w:eastAsia="仿宋"/>
          <w:sz w:val="28"/>
        </w:rPr>
      </w:pPr>
      <w:r>
        <w:rPr>
          <w:rFonts w:hint="eastAsia" w:eastAsia="仿宋"/>
          <w:sz w:val="28"/>
        </w:rPr>
        <w:t>书页装订：无缺页、白页、脏页，无颠倒、顶头、倒头，装订平整。</w:t>
      </w:r>
    </w:p>
    <w:p>
      <w:pPr>
        <w:pStyle w:val="26"/>
        <w:numPr>
          <w:ilvl w:val="0"/>
          <w:numId w:val="9"/>
        </w:numPr>
        <w:spacing w:line="360" w:lineRule="auto"/>
        <w:ind w:left="1701" w:hanging="567" w:firstLineChars="0"/>
        <w:rPr>
          <w:rFonts w:eastAsia="仿宋"/>
          <w:sz w:val="28"/>
        </w:rPr>
      </w:pPr>
      <w:r>
        <w:rPr>
          <w:rFonts w:hint="eastAsia" w:eastAsia="仿宋"/>
          <w:sz w:val="28"/>
        </w:rPr>
        <w:t>压膜裁切：压膜坚实，裁切尺寸符合工艺要求，不歪不斜，上下刀口一致，不皱不裂</w:t>
      </w:r>
      <w:r>
        <w:rPr>
          <w:rFonts w:eastAsia="仿宋"/>
          <w:sz w:val="28"/>
        </w:rPr>
        <w:tab/>
      </w:r>
      <w:r>
        <w:rPr>
          <w:rFonts w:hint="eastAsia" w:eastAsia="仿宋"/>
          <w:sz w:val="28"/>
        </w:rPr>
        <w:t>。</w:t>
      </w:r>
      <w:r>
        <w:rPr>
          <w:rFonts w:eastAsia="仿宋"/>
          <w:sz w:val="28"/>
        </w:rPr>
        <w:t xml:space="preserve"> 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（四）附加分</w:t>
      </w:r>
      <w:r>
        <w:rPr>
          <w:rFonts w:ascii="仿宋" w:hAnsi="仿宋" w:eastAsia="仿宋"/>
          <w:b/>
          <w:sz w:val="28"/>
        </w:rPr>
        <w:t>（</w:t>
      </w:r>
      <w:r>
        <w:rPr>
          <w:rFonts w:ascii="仿宋" w:hAnsi="仿宋" w:eastAsia="仿宋"/>
          <w:b/>
          <w:color w:val="FF0000"/>
          <w:sz w:val="28"/>
        </w:rPr>
        <w:t>30</w:t>
      </w:r>
      <w:r>
        <w:rPr>
          <w:rFonts w:hint="eastAsia" w:ascii="仿宋" w:hAnsi="仿宋" w:eastAsia="仿宋"/>
          <w:b/>
          <w:color w:val="FF0000"/>
          <w:sz w:val="28"/>
        </w:rPr>
        <w:t>分</w:t>
      </w:r>
      <w:r>
        <w:rPr>
          <w:rFonts w:ascii="仿宋" w:hAnsi="仿宋" w:eastAsia="仿宋"/>
          <w:b/>
          <w:sz w:val="28"/>
        </w:rPr>
        <w:t>）</w:t>
      </w:r>
    </w:p>
    <w:p>
      <w:pPr>
        <w:pStyle w:val="26"/>
        <w:numPr>
          <w:ilvl w:val="0"/>
          <w:numId w:val="10"/>
        </w:numPr>
        <w:tabs>
          <w:tab w:val="left" w:pos="8364"/>
        </w:tabs>
        <w:spacing w:line="360" w:lineRule="auto"/>
        <w:ind w:left="1701" w:hanging="567" w:firstLineChars="0"/>
        <w:rPr>
          <w:rFonts w:eastAsia="仿宋"/>
          <w:sz w:val="28"/>
        </w:rPr>
      </w:pPr>
      <w:r>
        <w:rPr>
          <w:rFonts w:hint="eastAsia" w:eastAsia="仿宋"/>
          <w:sz w:val="28"/>
        </w:rPr>
        <w:t>总印数在</w:t>
      </w:r>
      <w:r>
        <w:rPr>
          <w:rFonts w:eastAsia="仿宋"/>
          <w:sz w:val="28"/>
        </w:rPr>
        <w:t>100</w:t>
      </w:r>
      <w:r>
        <w:rPr>
          <w:rFonts w:hint="eastAsia" w:eastAsia="仿宋"/>
          <w:sz w:val="28"/>
        </w:rPr>
        <w:t>,</w:t>
      </w:r>
      <w:r>
        <w:rPr>
          <w:rFonts w:eastAsia="仿宋"/>
          <w:sz w:val="28"/>
        </w:rPr>
        <w:t>000</w:t>
      </w:r>
      <w:r>
        <w:rPr>
          <w:rFonts w:hint="eastAsia" w:eastAsia="仿宋"/>
          <w:sz w:val="28"/>
        </w:rPr>
        <w:t>册（含）以上。</w:t>
      </w:r>
      <w:r>
        <w:rPr>
          <w:rFonts w:eastAsia="仿宋"/>
          <w:sz w:val="28"/>
        </w:rPr>
        <w:tab/>
      </w:r>
      <w:r>
        <w:rPr>
          <w:rFonts w:hint="eastAsia" w:ascii="Times New Roman" w:hAnsi="Times New Roman" w:eastAsia="仿宋"/>
          <w:sz w:val="28"/>
          <w:szCs w:val="21"/>
        </w:rPr>
        <w:t>（</w:t>
      </w:r>
      <w:r>
        <w:rPr>
          <w:rFonts w:ascii="Times New Roman" w:hAnsi="Times New Roman" w:eastAsia="仿宋"/>
          <w:color w:val="FF0000"/>
          <w:sz w:val="28"/>
          <w:szCs w:val="21"/>
        </w:rPr>
        <w:t>10%</w:t>
      </w:r>
      <w:r>
        <w:rPr>
          <w:rFonts w:hint="eastAsia" w:ascii="Times New Roman" w:hAnsi="Times New Roman" w:eastAsia="仿宋"/>
          <w:sz w:val="28"/>
          <w:szCs w:val="21"/>
        </w:rPr>
        <w:t>）</w:t>
      </w:r>
    </w:p>
    <w:p>
      <w:pPr>
        <w:pStyle w:val="26"/>
        <w:numPr>
          <w:ilvl w:val="0"/>
          <w:numId w:val="10"/>
        </w:numPr>
        <w:tabs>
          <w:tab w:val="left" w:pos="8505"/>
        </w:tabs>
        <w:spacing w:line="360" w:lineRule="auto"/>
        <w:ind w:left="1701" w:hanging="567" w:firstLineChars="0"/>
        <w:rPr>
          <w:rFonts w:eastAsia="仿宋"/>
          <w:sz w:val="28"/>
        </w:rPr>
      </w:pPr>
      <w:r>
        <w:rPr>
          <w:rFonts w:hint="eastAsia" w:eastAsia="仿宋"/>
          <w:sz w:val="28"/>
        </w:rPr>
        <w:t>在国内外</w:t>
      </w:r>
      <w:r>
        <w:rPr>
          <w:rFonts w:eastAsia="仿宋"/>
          <w:sz w:val="28"/>
        </w:rPr>
        <w:t>50</w:t>
      </w:r>
      <w:r>
        <w:rPr>
          <w:rFonts w:hint="eastAsia" w:eastAsia="仿宋"/>
          <w:sz w:val="28"/>
        </w:rPr>
        <w:t>所以上高校和科研院所得到推广使用。</w:t>
      </w:r>
      <w:r>
        <w:rPr>
          <w:rFonts w:eastAsia="仿宋"/>
          <w:sz w:val="28"/>
        </w:rPr>
        <w:tab/>
      </w:r>
      <w:r>
        <w:rPr>
          <w:rFonts w:hint="eastAsia" w:eastAsia="仿宋"/>
          <w:sz w:val="28"/>
        </w:rPr>
        <w:t>（</w:t>
      </w:r>
      <w:r>
        <w:rPr>
          <w:rFonts w:eastAsia="仿宋"/>
          <w:sz w:val="28"/>
        </w:rPr>
        <w:t>10%</w:t>
      </w:r>
      <w:r>
        <w:rPr>
          <w:rFonts w:hint="eastAsia" w:eastAsia="仿宋"/>
          <w:sz w:val="28"/>
        </w:rPr>
        <w:t>）</w:t>
      </w:r>
    </w:p>
    <w:p>
      <w:pPr>
        <w:pStyle w:val="26"/>
        <w:numPr>
          <w:ilvl w:val="0"/>
          <w:numId w:val="10"/>
        </w:numPr>
        <w:tabs>
          <w:tab w:val="left" w:pos="8505"/>
        </w:tabs>
        <w:spacing w:line="360" w:lineRule="auto"/>
        <w:ind w:left="1701" w:hanging="567" w:firstLineChars="0"/>
        <w:rPr>
          <w:rFonts w:hint="eastAsia" w:eastAsia="仿宋"/>
          <w:color w:val="FF0000"/>
          <w:sz w:val="28"/>
        </w:rPr>
      </w:pPr>
      <w:r>
        <w:rPr>
          <w:rFonts w:hint="eastAsia" w:eastAsia="仿宋"/>
          <w:sz w:val="28"/>
        </w:rPr>
        <w:t>以本教材为基础开设MOOC或国家级精品视频公开课，并具有较大影响力。</w:t>
      </w:r>
      <w:r>
        <w:rPr>
          <w:rFonts w:hint="eastAsia" w:eastAsia="仿宋"/>
          <w:sz w:val="28"/>
        </w:rPr>
        <w:tab/>
      </w:r>
      <w:r>
        <w:rPr>
          <w:rFonts w:hint="eastAsia" w:eastAsia="仿宋"/>
          <w:color w:val="FF0000"/>
          <w:sz w:val="28"/>
        </w:rPr>
        <w:t>（10%）</w:t>
      </w:r>
    </w:p>
    <w:p>
      <w:pPr>
        <w:pStyle w:val="26"/>
        <w:spacing w:line="360" w:lineRule="auto"/>
        <w:ind w:firstLine="0" w:firstLineChars="0"/>
        <w:rPr>
          <w:rFonts w:ascii="仿宋" w:hAnsi="仿宋" w:eastAsia="仿宋"/>
          <w:sz w:val="28"/>
        </w:rPr>
      </w:pPr>
    </w:p>
    <w:sectPr>
      <w:headerReference r:id="rId3" w:type="default"/>
      <w:footerReference r:id="rId4" w:type="default"/>
      <w:pgSz w:w="11906" w:h="16838"/>
      <w:pgMar w:top="1588" w:right="1247" w:bottom="1588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09767054">
    <w:nsid w:val="5407568E"/>
    <w:multiLevelType w:val="multilevel"/>
    <w:tmpl w:val="5407568E"/>
    <w:lvl w:ilvl="0" w:tentative="1">
      <w:start w:val="1"/>
      <w:numFmt w:val="decimal"/>
      <w:lvlText w:val="(%1)"/>
      <w:lvlJc w:val="left"/>
      <w:pPr>
        <w:ind w:left="98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94211413">
    <w:nsid w:val="6AF17E55"/>
    <w:multiLevelType w:val="multilevel"/>
    <w:tmpl w:val="6AF17E55"/>
    <w:lvl w:ilvl="0" w:tentative="1">
      <w:start w:val="1"/>
      <w:numFmt w:val="decimal"/>
      <w:lvlText w:val="(%1)"/>
      <w:lvlJc w:val="left"/>
      <w:pPr>
        <w:ind w:left="98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76833781">
    <w:nsid w:val="3A394CF5"/>
    <w:multiLevelType w:val="multilevel"/>
    <w:tmpl w:val="3A394CF5"/>
    <w:lvl w:ilvl="0" w:tentative="1">
      <w:start w:val="1"/>
      <w:numFmt w:val="decimal"/>
      <w:lvlText w:val="(%1)"/>
      <w:lvlJc w:val="left"/>
      <w:pPr>
        <w:ind w:left="15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940" w:hanging="420"/>
      </w:pPr>
    </w:lvl>
    <w:lvl w:ilvl="2" w:tentative="1">
      <w:start w:val="1"/>
      <w:numFmt w:val="lowerRoman"/>
      <w:lvlText w:val="%3."/>
      <w:lvlJc w:val="right"/>
      <w:pPr>
        <w:ind w:left="2360" w:hanging="420"/>
      </w:pPr>
    </w:lvl>
    <w:lvl w:ilvl="3" w:tentative="1">
      <w:start w:val="1"/>
      <w:numFmt w:val="decimal"/>
      <w:lvlText w:val="%4."/>
      <w:lvlJc w:val="left"/>
      <w:pPr>
        <w:ind w:left="2780" w:hanging="420"/>
      </w:pPr>
    </w:lvl>
    <w:lvl w:ilvl="4" w:tentative="1">
      <w:start w:val="1"/>
      <w:numFmt w:val="lowerLetter"/>
      <w:lvlText w:val="%5)"/>
      <w:lvlJc w:val="left"/>
      <w:pPr>
        <w:ind w:left="3200" w:hanging="420"/>
      </w:pPr>
    </w:lvl>
    <w:lvl w:ilvl="5" w:tentative="1">
      <w:start w:val="1"/>
      <w:numFmt w:val="lowerRoman"/>
      <w:lvlText w:val="%6."/>
      <w:lvlJc w:val="right"/>
      <w:pPr>
        <w:ind w:left="3620" w:hanging="420"/>
      </w:pPr>
    </w:lvl>
    <w:lvl w:ilvl="6" w:tentative="1">
      <w:start w:val="1"/>
      <w:numFmt w:val="decimal"/>
      <w:lvlText w:val="%7."/>
      <w:lvlJc w:val="left"/>
      <w:pPr>
        <w:ind w:left="4040" w:hanging="420"/>
      </w:pPr>
    </w:lvl>
    <w:lvl w:ilvl="7" w:tentative="1">
      <w:start w:val="1"/>
      <w:numFmt w:val="lowerLetter"/>
      <w:lvlText w:val="%8)"/>
      <w:lvlJc w:val="left"/>
      <w:pPr>
        <w:ind w:left="4460" w:hanging="420"/>
      </w:pPr>
    </w:lvl>
    <w:lvl w:ilvl="8" w:tentative="1">
      <w:start w:val="1"/>
      <w:numFmt w:val="lowerRoman"/>
      <w:lvlText w:val="%9."/>
      <w:lvlJc w:val="right"/>
      <w:pPr>
        <w:ind w:left="4880" w:hanging="420"/>
      </w:pPr>
    </w:lvl>
  </w:abstractNum>
  <w:abstractNum w:abstractNumId="1621498849">
    <w:nsid w:val="60A61BE1"/>
    <w:multiLevelType w:val="multilevel"/>
    <w:tmpl w:val="60A61BE1"/>
    <w:lvl w:ilvl="0" w:tentative="1">
      <w:start w:val="1"/>
      <w:numFmt w:val="decimal"/>
      <w:lvlText w:val="(%1)"/>
      <w:lvlJc w:val="left"/>
      <w:pPr>
        <w:ind w:left="98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42058311">
    <w:nsid w:val="204F2747"/>
    <w:multiLevelType w:val="multilevel"/>
    <w:tmpl w:val="204F2747"/>
    <w:lvl w:ilvl="0" w:tentative="1">
      <w:start w:val="1"/>
      <w:numFmt w:val="decimal"/>
      <w:lvlText w:val="(%1)"/>
      <w:lvlJc w:val="left"/>
      <w:pPr>
        <w:ind w:left="98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52605158">
    <w:nsid w:val="44B35BE6"/>
    <w:multiLevelType w:val="multilevel"/>
    <w:tmpl w:val="44B35BE6"/>
    <w:lvl w:ilvl="0" w:tentative="1">
      <w:start w:val="1"/>
      <w:numFmt w:val="decimal"/>
      <w:lvlText w:val="(%1)"/>
      <w:lvlJc w:val="left"/>
      <w:pPr>
        <w:ind w:left="98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18669853">
    <w:nsid w:val="2AD6081D"/>
    <w:multiLevelType w:val="multilevel"/>
    <w:tmpl w:val="2AD6081D"/>
    <w:lvl w:ilvl="0" w:tentative="1">
      <w:start w:val="1"/>
      <w:numFmt w:val="decimal"/>
      <w:lvlText w:val="(%1)"/>
      <w:lvlJc w:val="left"/>
      <w:pPr>
        <w:ind w:left="98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25506629">
    <w:nsid w:val="6CCF0545"/>
    <w:multiLevelType w:val="multilevel"/>
    <w:tmpl w:val="6CCF0545"/>
    <w:lvl w:ilvl="0" w:tentative="1">
      <w:start w:val="1"/>
      <w:numFmt w:val="decimal"/>
      <w:lvlText w:val="(%1)"/>
      <w:lvlJc w:val="left"/>
      <w:pPr>
        <w:ind w:left="15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940" w:hanging="420"/>
      </w:pPr>
    </w:lvl>
    <w:lvl w:ilvl="2" w:tentative="1">
      <w:start w:val="1"/>
      <w:numFmt w:val="lowerRoman"/>
      <w:lvlText w:val="%3."/>
      <w:lvlJc w:val="right"/>
      <w:pPr>
        <w:ind w:left="2360" w:hanging="420"/>
      </w:pPr>
    </w:lvl>
    <w:lvl w:ilvl="3" w:tentative="1">
      <w:start w:val="1"/>
      <w:numFmt w:val="decimal"/>
      <w:lvlText w:val="%4."/>
      <w:lvlJc w:val="left"/>
      <w:pPr>
        <w:ind w:left="2780" w:hanging="420"/>
      </w:pPr>
    </w:lvl>
    <w:lvl w:ilvl="4" w:tentative="1">
      <w:start w:val="1"/>
      <w:numFmt w:val="lowerLetter"/>
      <w:lvlText w:val="%5)"/>
      <w:lvlJc w:val="left"/>
      <w:pPr>
        <w:ind w:left="3200" w:hanging="420"/>
      </w:pPr>
    </w:lvl>
    <w:lvl w:ilvl="5" w:tentative="1">
      <w:start w:val="1"/>
      <w:numFmt w:val="lowerRoman"/>
      <w:lvlText w:val="%6."/>
      <w:lvlJc w:val="right"/>
      <w:pPr>
        <w:ind w:left="3620" w:hanging="420"/>
      </w:pPr>
    </w:lvl>
    <w:lvl w:ilvl="6" w:tentative="1">
      <w:start w:val="1"/>
      <w:numFmt w:val="decimal"/>
      <w:lvlText w:val="%7."/>
      <w:lvlJc w:val="left"/>
      <w:pPr>
        <w:ind w:left="4040" w:hanging="420"/>
      </w:pPr>
    </w:lvl>
    <w:lvl w:ilvl="7" w:tentative="1">
      <w:start w:val="1"/>
      <w:numFmt w:val="lowerLetter"/>
      <w:lvlText w:val="%8)"/>
      <w:lvlJc w:val="left"/>
      <w:pPr>
        <w:ind w:left="4460" w:hanging="420"/>
      </w:pPr>
    </w:lvl>
    <w:lvl w:ilvl="8" w:tentative="1">
      <w:start w:val="1"/>
      <w:numFmt w:val="lowerRoman"/>
      <w:lvlText w:val="%9."/>
      <w:lvlJc w:val="right"/>
      <w:pPr>
        <w:ind w:left="4880" w:hanging="420"/>
      </w:pPr>
    </w:lvl>
  </w:abstractNum>
  <w:abstractNum w:abstractNumId="1675449703">
    <w:nsid w:val="63DD5567"/>
    <w:multiLevelType w:val="multilevel"/>
    <w:tmpl w:val="63DD5567"/>
    <w:lvl w:ilvl="0" w:tentative="1">
      <w:start w:val="1"/>
      <w:numFmt w:val="decimal"/>
      <w:lvlText w:val="(%1)"/>
      <w:lvlJc w:val="left"/>
      <w:pPr>
        <w:ind w:left="15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940" w:hanging="420"/>
      </w:pPr>
    </w:lvl>
    <w:lvl w:ilvl="2" w:tentative="1">
      <w:start w:val="1"/>
      <w:numFmt w:val="lowerRoman"/>
      <w:lvlText w:val="%3."/>
      <w:lvlJc w:val="right"/>
      <w:pPr>
        <w:ind w:left="2360" w:hanging="420"/>
      </w:pPr>
    </w:lvl>
    <w:lvl w:ilvl="3" w:tentative="1">
      <w:start w:val="1"/>
      <w:numFmt w:val="decimal"/>
      <w:lvlText w:val="%4."/>
      <w:lvlJc w:val="left"/>
      <w:pPr>
        <w:ind w:left="2780" w:hanging="420"/>
      </w:pPr>
    </w:lvl>
    <w:lvl w:ilvl="4" w:tentative="1">
      <w:start w:val="1"/>
      <w:numFmt w:val="lowerLetter"/>
      <w:lvlText w:val="%5)"/>
      <w:lvlJc w:val="left"/>
      <w:pPr>
        <w:ind w:left="3200" w:hanging="420"/>
      </w:pPr>
    </w:lvl>
    <w:lvl w:ilvl="5" w:tentative="1">
      <w:start w:val="1"/>
      <w:numFmt w:val="lowerRoman"/>
      <w:lvlText w:val="%6."/>
      <w:lvlJc w:val="right"/>
      <w:pPr>
        <w:ind w:left="3620" w:hanging="420"/>
      </w:pPr>
    </w:lvl>
    <w:lvl w:ilvl="6" w:tentative="1">
      <w:start w:val="1"/>
      <w:numFmt w:val="decimal"/>
      <w:lvlText w:val="%7."/>
      <w:lvlJc w:val="left"/>
      <w:pPr>
        <w:ind w:left="4040" w:hanging="420"/>
      </w:pPr>
    </w:lvl>
    <w:lvl w:ilvl="7" w:tentative="1">
      <w:start w:val="1"/>
      <w:numFmt w:val="lowerLetter"/>
      <w:lvlText w:val="%8)"/>
      <w:lvlJc w:val="left"/>
      <w:pPr>
        <w:ind w:left="4460" w:hanging="420"/>
      </w:pPr>
    </w:lvl>
    <w:lvl w:ilvl="8" w:tentative="1">
      <w:start w:val="1"/>
      <w:numFmt w:val="lowerRoman"/>
      <w:lvlText w:val="%9."/>
      <w:lvlJc w:val="right"/>
      <w:pPr>
        <w:ind w:left="4880" w:hanging="420"/>
      </w:pPr>
    </w:lvl>
  </w:abstractNum>
  <w:abstractNum w:abstractNumId="1126697330">
    <w:nsid w:val="43280972"/>
    <w:multiLevelType w:val="multilevel"/>
    <w:tmpl w:val="43280972"/>
    <w:lvl w:ilvl="0" w:tentative="1">
      <w:start w:val="1"/>
      <w:numFmt w:val="decimal"/>
      <w:lvlText w:val="(%1)"/>
      <w:lvlJc w:val="left"/>
      <w:pPr>
        <w:ind w:left="15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940" w:hanging="420"/>
      </w:pPr>
    </w:lvl>
    <w:lvl w:ilvl="2" w:tentative="1">
      <w:start w:val="1"/>
      <w:numFmt w:val="lowerRoman"/>
      <w:lvlText w:val="%3."/>
      <w:lvlJc w:val="right"/>
      <w:pPr>
        <w:ind w:left="2360" w:hanging="420"/>
      </w:pPr>
    </w:lvl>
    <w:lvl w:ilvl="3" w:tentative="1">
      <w:start w:val="1"/>
      <w:numFmt w:val="decimal"/>
      <w:lvlText w:val="%4."/>
      <w:lvlJc w:val="left"/>
      <w:pPr>
        <w:ind w:left="2780" w:hanging="420"/>
      </w:pPr>
    </w:lvl>
    <w:lvl w:ilvl="4" w:tentative="1">
      <w:start w:val="1"/>
      <w:numFmt w:val="lowerLetter"/>
      <w:lvlText w:val="%5)"/>
      <w:lvlJc w:val="left"/>
      <w:pPr>
        <w:ind w:left="3200" w:hanging="420"/>
      </w:pPr>
    </w:lvl>
    <w:lvl w:ilvl="5" w:tentative="1">
      <w:start w:val="1"/>
      <w:numFmt w:val="lowerRoman"/>
      <w:lvlText w:val="%6."/>
      <w:lvlJc w:val="right"/>
      <w:pPr>
        <w:ind w:left="3620" w:hanging="420"/>
      </w:pPr>
    </w:lvl>
    <w:lvl w:ilvl="6" w:tentative="1">
      <w:start w:val="1"/>
      <w:numFmt w:val="decimal"/>
      <w:lvlText w:val="%7."/>
      <w:lvlJc w:val="left"/>
      <w:pPr>
        <w:ind w:left="4040" w:hanging="420"/>
      </w:pPr>
    </w:lvl>
    <w:lvl w:ilvl="7" w:tentative="1">
      <w:start w:val="1"/>
      <w:numFmt w:val="lowerLetter"/>
      <w:lvlText w:val="%8)"/>
      <w:lvlJc w:val="left"/>
      <w:pPr>
        <w:ind w:left="4460" w:hanging="420"/>
      </w:pPr>
    </w:lvl>
    <w:lvl w:ilvl="8" w:tentative="1">
      <w:start w:val="1"/>
      <w:numFmt w:val="lowerRoman"/>
      <w:lvlText w:val="%9."/>
      <w:lvlJc w:val="right"/>
      <w:pPr>
        <w:ind w:left="4880" w:hanging="420"/>
      </w:pPr>
    </w:lvl>
  </w:abstractNum>
  <w:num w:numId="1">
    <w:abstractNumId w:val="1409767054"/>
  </w:num>
  <w:num w:numId="2">
    <w:abstractNumId w:val="1621498849"/>
  </w:num>
  <w:num w:numId="3">
    <w:abstractNumId w:val="542058311"/>
  </w:num>
  <w:num w:numId="4">
    <w:abstractNumId w:val="1794211413"/>
  </w:num>
  <w:num w:numId="5">
    <w:abstractNumId w:val="976833781"/>
  </w:num>
  <w:num w:numId="6">
    <w:abstractNumId w:val="1152605158"/>
  </w:num>
  <w:num w:numId="7">
    <w:abstractNumId w:val="718669853"/>
  </w:num>
  <w:num w:numId="8">
    <w:abstractNumId w:val="1825506629"/>
  </w:num>
  <w:num w:numId="9">
    <w:abstractNumId w:val="1675449703"/>
  </w:num>
  <w:num w:numId="10">
    <w:abstractNumId w:val="11266973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trackRevisions w:val="1"/>
  <w:documentProtection w:enforcement="0"/>
  <w:defaultTabStop w:val="5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34"/>
    <w:rsid w:val="0002407A"/>
    <w:rsid w:val="000600BA"/>
    <w:rsid w:val="00062DE2"/>
    <w:rsid w:val="00073E95"/>
    <w:rsid w:val="000A6ED5"/>
    <w:rsid w:val="000B0AA0"/>
    <w:rsid w:val="000C0166"/>
    <w:rsid w:val="000D6F91"/>
    <w:rsid w:val="00192EE2"/>
    <w:rsid w:val="001C6A30"/>
    <w:rsid w:val="001E49B6"/>
    <w:rsid w:val="0020561C"/>
    <w:rsid w:val="00225C51"/>
    <w:rsid w:val="00244783"/>
    <w:rsid w:val="00255B53"/>
    <w:rsid w:val="0027685E"/>
    <w:rsid w:val="00280B2A"/>
    <w:rsid w:val="002866F4"/>
    <w:rsid w:val="002907C8"/>
    <w:rsid w:val="002C456E"/>
    <w:rsid w:val="00307A12"/>
    <w:rsid w:val="00314B34"/>
    <w:rsid w:val="00357078"/>
    <w:rsid w:val="003720F3"/>
    <w:rsid w:val="003A7B25"/>
    <w:rsid w:val="003B2EB7"/>
    <w:rsid w:val="003C05E7"/>
    <w:rsid w:val="003C5378"/>
    <w:rsid w:val="003D2ECA"/>
    <w:rsid w:val="003F6AED"/>
    <w:rsid w:val="004048F8"/>
    <w:rsid w:val="00432E0D"/>
    <w:rsid w:val="0044603D"/>
    <w:rsid w:val="004557B0"/>
    <w:rsid w:val="004565DF"/>
    <w:rsid w:val="00462D67"/>
    <w:rsid w:val="004638EB"/>
    <w:rsid w:val="0047037C"/>
    <w:rsid w:val="004741FE"/>
    <w:rsid w:val="0048452C"/>
    <w:rsid w:val="004A6308"/>
    <w:rsid w:val="004B06DE"/>
    <w:rsid w:val="004B6F17"/>
    <w:rsid w:val="0052618A"/>
    <w:rsid w:val="00550E07"/>
    <w:rsid w:val="00563B68"/>
    <w:rsid w:val="00574073"/>
    <w:rsid w:val="00582C0D"/>
    <w:rsid w:val="005864A5"/>
    <w:rsid w:val="005C6377"/>
    <w:rsid w:val="005E47BC"/>
    <w:rsid w:val="005F4D91"/>
    <w:rsid w:val="006219DE"/>
    <w:rsid w:val="0064169F"/>
    <w:rsid w:val="006548EB"/>
    <w:rsid w:val="00674712"/>
    <w:rsid w:val="006A6250"/>
    <w:rsid w:val="006D4B88"/>
    <w:rsid w:val="006E5A7D"/>
    <w:rsid w:val="006F053F"/>
    <w:rsid w:val="006F2EF2"/>
    <w:rsid w:val="006F36D5"/>
    <w:rsid w:val="00713FFB"/>
    <w:rsid w:val="00733812"/>
    <w:rsid w:val="00746BDF"/>
    <w:rsid w:val="007628F3"/>
    <w:rsid w:val="00771B07"/>
    <w:rsid w:val="007841A0"/>
    <w:rsid w:val="0079011F"/>
    <w:rsid w:val="007B7121"/>
    <w:rsid w:val="007E736B"/>
    <w:rsid w:val="007E7AB1"/>
    <w:rsid w:val="00800697"/>
    <w:rsid w:val="00830730"/>
    <w:rsid w:val="008334CC"/>
    <w:rsid w:val="00856C85"/>
    <w:rsid w:val="008774B0"/>
    <w:rsid w:val="008A118E"/>
    <w:rsid w:val="008A4585"/>
    <w:rsid w:val="008A65B2"/>
    <w:rsid w:val="008D455C"/>
    <w:rsid w:val="0091421A"/>
    <w:rsid w:val="00952E8A"/>
    <w:rsid w:val="00963CE5"/>
    <w:rsid w:val="009677F8"/>
    <w:rsid w:val="00980266"/>
    <w:rsid w:val="00996872"/>
    <w:rsid w:val="009C507E"/>
    <w:rsid w:val="009E7FB6"/>
    <w:rsid w:val="009F3514"/>
    <w:rsid w:val="009F7359"/>
    <w:rsid w:val="00A031C5"/>
    <w:rsid w:val="00A14BAF"/>
    <w:rsid w:val="00A16D4F"/>
    <w:rsid w:val="00A32030"/>
    <w:rsid w:val="00A32BDA"/>
    <w:rsid w:val="00A4529D"/>
    <w:rsid w:val="00A456AE"/>
    <w:rsid w:val="00A5343A"/>
    <w:rsid w:val="00A62B9C"/>
    <w:rsid w:val="00A66C60"/>
    <w:rsid w:val="00AC37D0"/>
    <w:rsid w:val="00AD6F43"/>
    <w:rsid w:val="00B0777A"/>
    <w:rsid w:val="00B11492"/>
    <w:rsid w:val="00B24408"/>
    <w:rsid w:val="00B31EA8"/>
    <w:rsid w:val="00B508CA"/>
    <w:rsid w:val="00B5142E"/>
    <w:rsid w:val="00B65853"/>
    <w:rsid w:val="00B71A6A"/>
    <w:rsid w:val="00B71D6D"/>
    <w:rsid w:val="00BA4AC9"/>
    <w:rsid w:val="00BA7EE5"/>
    <w:rsid w:val="00BD54E3"/>
    <w:rsid w:val="00C011A3"/>
    <w:rsid w:val="00C0739F"/>
    <w:rsid w:val="00C24199"/>
    <w:rsid w:val="00C242A6"/>
    <w:rsid w:val="00C26595"/>
    <w:rsid w:val="00C31896"/>
    <w:rsid w:val="00C45497"/>
    <w:rsid w:val="00C54FFF"/>
    <w:rsid w:val="00C551B6"/>
    <w:rsid w:val="00C61D1A"/>
    <w:rsid w:val="00C73C99"/>
    <w:rsid w:val="00C76CBA"/>
    <w:rsid w:val="00CA1BD5"/>
    <w:rsid w:val="00CE2AF1"/>
    <w:rsid w:val="00D17995"/>
    <w:rsid w:val="00D23A9E"/>
    <w:rsid w:val="00D247C7"/>
    <w:rsid w:val="00D332F9"/>
    <w:rsid w:val="00D56973"/>
    <w:rsid w:val="00D70731"/>
    <w:rsid w:val="00D735F0"/>
    <w:rsid w:val="00DC577E"/>
    <w:rsid w:val="00DD08B6"/>
    <w:rsid w:val="00DD4110"/>
    <w:rsid w:val="00E21F07"/>
    <w:rsid w:val="00E31EC1"/>
    <w:rsid w:val="00E32255"/>
    <w:rsid w:val="00E34511"/>
    <w:rsid w:val="00E43E30"/>
    <w:rsid w:val="00E50C49"/>
    <w:rsid w:val="00EB2DE0"/>
    <w:rsid w:val="00EB6E4B"/>
    <w:rsid w:val="00EC40E7"/>
    <w:rsid w:val="00EC6E48"/>
    <w:rsid w:val="00ED3B13"/>
    <w:rsid w:val="00ED716A"/>
    <w:rsid w:val="00EE6642"/>
    <w:rsid w:val="00EF19DE"/>
    <w:rsid w:val="00F168AE"/>
    <w:rsid w:val="00F26F5B"/>
    <w:rsid w:val="00F30C42"/>
    <w:rsid w:val="00F3122A"/>
    <w:rsid w:val="00F5347B"/>
    <w:rsid w:val="00F82CCB"/>
    <w:rsid w:val="00F91CA8"/>
    <w:rsid w:val="00F96BE1"/>
    <w:rsid w:val="00FE4F38"/>
    <w:rsid w:val="00FF2A4C"/>
    <w:rsid w:val="00FF6AB3"/>
    <w:rsid w:val="027E29A5"/>
    <w:rsid w:val="032F7D99"/>
    <w:rsid w:val="12976F0D"/>
    <w:rsid w:val="23CC074A"/>
    <w:rsid w:val="39CD2AE4"/>
    <w:rsid w:val="3ED847AB"/>
    <w:rsid w:val="420226D9"/>
    <w:rsid w:val="434866DB"/>
    <w:rsid w:val="66DF3B52"/>
    <w:rsid w:val="74BD42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rFonts w:cs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9"/>
    <w:pPr>
      <w:keepNext/>
      <w:keepLines/>
      <w:spacing w:line="415" w:lineRule="auto"/>
      <w:ind w:left="1470" w:leftChars="100" w:right="100" w:rightChars="100"/>
      <w:outlineLvl w:val="1"/>
    </w:pPr>
    <w:rPr>
      <w:rFonts w:ascii="Cambria" w:hAnsi="Cambria"/>
      <w:b/>
      <w:bCs/>
      <w:sz w:val="28"/>
      <w:szCs w:val="32"/>
    </w:rPr>
  </w:style>
  <w:style w:type="paragraph" w:styleId="4">
    <w:name w:val="heading 3"/>
    <w:basedOn w:val="1"/>
    <w:next w:val="1"/>
    <w:link w:val="22"/>
    <w:qFormat/>
    <w:uiPriority w:val="9"/>
    <w:pPr>
      <w:keepNext/>
      <w:keepLines/>
      <w:spacing w:before="260" w:after="260" w:line="416" w:lineRule="auto"/>
      <w:outlineLvl w:val="2"/>
    </w:pPr>
    <w:rPr>
      <w:rFonts w:eastAsia="黑体"/>
      <w:bCs/>
      <w:sz w:val="28"/>
      <w:szCs w:val="32"/>
    </w:rPr>
  </w:style>
  <w:style w:type="paragraph" w:styleId="5">
    <w:name w:val="heading 4"/>
    <w:basedOn w:val="1"/>
    <w:next w:val="1"/>
    <w:link w:val="23"/>
    <w:qFormat/>
    <w:uiPriority w:val="9"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character" w:default="1" w:styleId="15">
    <w:name w:val="Default Paragraph Font"/>
    <w:unhideWhenUsed/>
    <w:qFormat/>
    <w:uiPriority w:val="1"/>
  </w:style>
  <w:style w:type="table" w:default="1" w:styleId="1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subject"/>
    <w:basedOn w:val="7"/>
    <w:next w:val="7"/>
    <w:link w:val="35"/>
    <w:unhideWhenUsed/>
    <w:uiPriority w:val="99"/>
    <w:rPr>
      <w:b/>
      <w:bCs/>
    </w:rPr>
  </w:style>
  <w:style w:type="paragraph" w:styleId="7">
    <w:name w:val="annotation text"/>
    <w:basedOn w:val="1"/>
    <w:link w:val="34"/>
    <w:unhideWhenUsed/>
    <w:qFormat/>
    <w:uiPriority w:val="99"/>
    <w:pPr>
      <w:jc w:val="left"/>
    </w:pPr>
  </w:style>
  <w:style w:type="paragraph" w:styleId="8">
    <w:name w:val="caption"/>
    <w:basedOn w:val="1"/>
    <w:next w:val="1"/>
    <w:qFormat/>
    <w:uiPriority w:val="35"/>
    <w:rPr>
      <w:rFonts w:ascii="Arial" w:hAnsi="Arial" w:eastAsia="黑体"/>
      <w:sz w:val="20"/>
    </w:rPr>
  </w:style>
  <w:style w:type="paragraph" w:styleId="9">
    <w:name w:val="toc 3"/>
    <w:basedOn w:val="1"/>
    <w:next w:val="1"/>
    <w:unhideWhenUsed/>
    <w:qFormat/>
    <w:uiPriority w:val="39"/>
    <w:pPr>
      <w:ind w:left="600" w:leftChars="600"/>
    </w:pPr>
    <w:rPr>
      <w:sz w:val="24"/>
    </w:rPr>
  </w:style>
  <w:style w:type="paragraph" w:styleId="10">
    <w:name w:val="Balloon Text"/>
    <w:basedOn w:val="1"/>
    <w:link w:val="37"/>
    <w:unhideWhenUsed/>
    <w:uiPriority w:val="99"/>
    <w:rPr>
      <w:sz w:val="18"/>
      <w:szCs w:val="18"/>
    </w:rPr>
  </w:style>
  <w:style w:type="paragraph" w:styleId="11">
    <w:name w:val="footer"/>
    <w:basedOn w:val="1"/>
    <w:link w:val="3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  <w:pPr>
      <w:tabs>
        <w:tab w:val="right" w:leader="dot" w:pos="8805"/>
      </w:tabs>
    </w:pPr>
    <w:rPr>
      <w:sz w:val="24"/>
    </w:rPr>
  </w:style>
  <w:style w:type="paragraph" w:styleId="14">
    <w:name w:val="toc 2"/>
    <w:basedOn w:val="1"/>
    <w:next w:val="1"/>
    <w:unhideWhenUsed/>
    <w:qFormat/>
    <w:uiPriority w:val="39"/>
    <w:pPr>
      <w:tabs>
        <w:tab w:val="right" w:leader="dot" w:pos="8805"/>
      </w:tabs>
      <w:ind w:left="630" w:leftChars="300"/>
    </w:pPr>
    <w:rPr>
      <w:sz w:val="24"/>
    </w:rPr>
  </w:style>
  <w:style w:type="character" w:styleId="16">
    <w:name w:val="Strong"/>
    <w:qFormat/>
    <w:uiPriority w:val="22"/>
    <w:rPr>
      <w:b/>
      <w:bCs/>
    </w:rPr>
  </w:style>
  <w:style w:type="character" w:styleId="17">
    <w:name w:val="Emphasis"/>
    <w:qFormat/>
    <w:uiPriority w:val="20"/>
    <w:rPr>
      <w:i/>
    </w:rPr>
  </w:style>
  <w:style w:type="character" w:styleId="18">
    <w:name w:val="annotation reference"/>
    <w:basedOn w:val="15"/>
    <w:unhideWhenUsed/>
    <w:qFormat/>
    <w:uiPriority w:val="99"/>
    <w:rPr>
      <w:sz w:val="21"/>
      <w:szCs w:val="21"/>
    </w:rPr>
  </w:style>
  <w:style w:type="character" w:customStyle="1" w:styleId="20">
    <w:name w:val="标题 1 Char"/>
    <w:basedOn w:val="15"/>
    <w:link w:val="2"/>
    <w:qFormat/>
    <w:uiPriority w:val="9"/>
    <w:rPr>
      <w:rFonts w:cs="宋体"/>
      <w:b/>
      <w:bCs/>
      <w:kern w:val="44"/>
      <w:sz w:val="44"/>
      <w:szCs w:val="44"/>
    </w:rPr>
  </w:style>
  <w:style w:type="character" w:customStyle="1" w:styleId="21">
    <w:name w:val="标题 2 Char"/>
    <w:link w:val="3"/>
    <w:qFormat/>
    <w:uiPriority w:val="9"/>
    <w:rPr>
      <w:rFonts w:ascii="Cambria" w:hAnsi="Cambria"/>
      <w:b/>
      <w:bCs/>
      <w:kern w:val="2"/>
      <w:sz w:val="28"/>
      <w:szCs w:val="32"/>
    </w:rPr>
  </w:style>
  <w:style w:type="character" w:customStyle="1" w:styleId="22">
    <w:name w:val="标题 3 Char"/>
    <w:link w:val="4"/>
    <w:qFormat/>
    <w:uiPriority w:val="9"/>
    <w:rPr>
      <w:rFonts w:eastAsia="黑体"/>
      <w:bCs/>
      <w:kern w:val="2"/>
      <w:sz w:val="28"/>
      <w:szCs w:val="32"/>
    </w:rPr>
  </w:style>
  <w:style w:type="character" w:customStyle="1" w:styleId="23">
    <w:name w:val="标题 4 Char"/>
    <w:link w:val="5"/>
    <w:qFormat/>
    <w:uiPriority w:val="9"/>
    <w:rPr>
      <w:rFonts w:ascii="Calibri Light" w:hAnsi="Calibri Light"/>
      <w:b/>
      <w:bCs/>
      <w:kern w:val="2"/>
      <w:sz w:val="28"/>
      <w:szCs w:val="28"/>
    </w:rPr>
  </w:style>
  <w:style w:type="paragraph" w:customStyle="1" w:styleId="24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5">
    <w:name w:val="TOC 标题1"/>
    <w:basedOn w:val="2"/>
    <w:next w:val="1"/>
    <w:unhideWhenUsed/>
    <w:qFormat/>
    <w:uiPriority w:val="39"/>
    <w:pPr>
      <w:outlineLvl w:val="9"/>
    </w:pPr>
    <w:rPr>
      <w:rFonts w:cs="Times New Roman"/>
    </w:rPr>
  </w:style>
  <w:style w:type="paragraph" w:customStyle="1" w:styleId="26">
    <w:name w:val="列出段落111"/>
    <w:basedOn w:val="1"/>
    <w:qFormat/>
    <w:uiPriority w:val="34"/>
    <w:pPr>
      <w:ind w:firstLine="420" w:firstLineChars="200"/>
    </w:pPr>
  </w:style>
  <w:style w:type="paragraph" w:customStyle="1" w:styleId="27">
    <w:name w:val="列出段落2"/>
    <w:basedOn w:val="1"/>
    <w:qFormat/>
    <w:uiPriority w:val="34"/>
    <w:pPr>
      <w:ind w:firstLine="420" w:firstLineChars="200"/>
    </w:pPr>
  </w:style>
  <w:style w:type="paragraph" w:customStyle="1" w:styleId="28">
    <w:name w:val="引用1"/>
    <w:basedOn w:val="1"/>
    <w:next w:val="1"/>
    <w:link w:val="29"/>
    <w:qFormat/>
    <w:uiPriority w:val="29"/>
    <w:pPr>
      <w:spacing w:before="200" w:after="160"/>
      <w:ind w:left="864" w:right="864"/>
      <w:jc w:val="center"/>
    </w:pPr>
    <w:rPr>
      <w:i/>
      <w:iCs/>
      <w:color w:val="3F3F3F"/>
      <w:kern w:val="0"/>
      <w:sz w:val="20"/>
    </w:rPr>
  </w:style>
  <w:style w:type="character" w:customStyle="1" w:styleId="29">
    <w:name w:val="引用 Char"/>
    <w:link w:val="28"/>
    <w:qFormat/>
    <w:uiPriority w:val="29"/>
    <w:rPr>
      <w:i/>
      <w:iCs/>
      <w:color w:val="3F3F3F"/>
    </w:rPr>
  </w:style>
  <w:style w:type="paragraph" w:customStyle="1" w:styleId="30">
    <w:name w:val="列出段落3"/>
    <w:basedOn w:val="1"/>
    <w:qFormat/>
    <w:uiPriority w:val="34"/>
    <w:pPr>
      <w:ind w:firstLine="420" w:firstLineChars="200"/>
    </w:pPr>
  </w:style>
  <w:style w:type="character" w:customStyle="1" w:styleId="31">
    <w:name w:val="页眉 Char"/>
    <w:basedOn w:val="15"/>
    <w:link w:val="12"/>
    <w:qFormat/>
    <w:uiPriority w:val="99"/>
    <w:rPr>
      <w:kern w:val="2"/>
      <w:sz w:val="18"/>
      <w:szCs w:val="18"/>
    </w:rPr>
  </w:style>
  <w:style w:type="character" w:customStyle="1" w:styleId="32">
    <w:name w:val="页脚 Char"/>
    <w:basedOn w:val="15"/>
    <w:link w:val="11"/>
    <w:qFormat/>
    <w:uiPriority w:val="99"/>
    <w:rPr>
      <w:kern w:val="2"/>
      <w:sz w:val="18"/>
      <w:szCs w:val="18"/>
    </w:rPr>
  </w:style>
  <w:style w:type="paragraph" w:customStyle="1" w:styleId="33">
    <w:name w:val="列出段落11"/>
    <w:basedOn w:val="1"/>
    <w:qFormat/>
    <w:uiPriority w:val="34"/>
    <w:pPr>
      <w:ind w:firstLine="420" w:firstLineChars="200"/>
    </w:pPr>
  </w:style>
  <w:style w:type="character" w:customStyle="1" w:styleId="34">
    <w:name w:val="批注文字 Char"/>
    <w:basedOn w:val="15"/>
    <w:link w:val="7"/>
    <w:semiHidden/>
    <w:qFormat/>
    <w:uiPriority w:val="99"/>
    <w:rPr>
      <w:kern w:val="2"/>
      <w:sz w:val="21"/>
    </w:rPr>
  </w:style>
  <w:style w:type="character" w:customStyle="1" w:styleId="35">
    <w:name w:val="批注主题 Char"/>
    <w:basedOn w:val="34"/>
    <w:link w:val="6"/>
    <w:semiHidden/>
    <w:qFormat/>
    <w:uiPriority w:val="99"/>
    <w:rPr>
      <w:b/>
      <w:bCs/>
      <w:kern w:val="2"/>
      <w:sz w:val="21"/>
    </w:rPr>
  </w:style>
  <w:style w:type="paragraph" w:customStyle="1" w:styleId="36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37">
    <w:name w:val="批注框文本 Char"/>
    <w:basedOn w:val="15"/>
    <w:link w:val="10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307</Words>
  <Characters>1751</Characters>
  <Lines>14</Lines>
  <Paragraphs>4</Paragraphs>
  <ScaleCrop>false</ScaleCrop>
  <LinksUpToDate>false</LinksUpToDate>
  <CharactersWithSpaces>2054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2016-03-19T07:29:00Z</dcterms:created>
  <dc:creator>webuser</dc:creator>
  <cp:lastModifiedBy>苏影</cp:lastModifiedBy>
  <dcterms:modified xsi:type="dcterms:W3CDTF">2016-05-20T09:14:54Z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